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565C07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6B93AA11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537D5F">
              <w:rPr>
                <w:i/>
                <w:sz w:val="20"/>
                <w:szCs w:val="20"/>
              </w:rPr>
              <w:t>House &amp; Home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0E88E1B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</w:t>
            </w:r>
            <w:r w:rsidR="00537D5F">
              <w:rPr>
                <w:i/>
                <w:sz w:val="20"/>
                <w:szCs w:val="20"/>
              </w:rPr>
              <w:t>ir home and the homes of others</w:t>
            </w:r>
          </w:p>
          <w:p w14:paraId="67320BE7" w14:textId="1CB6319C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</w:t>
            </w:r>
            <w:r w:rsidR="00537D5F">
              <w:rPr>
                <w:i/>
                <w:sz w:val="20"/>
                <w:szCs w:val="20"/>
              </w:rPr>
              <w:t>aware and understanding of other cultures’ home lives and experiences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6F56755A" w:rsidR="00727172" w:rsidRPr="00537D5F" w:rsidRDefault="00537D5F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Homes can take on many forms</w:t>
            </w:r>
          </w:p>
          <w:p w14:paraId="4A7C220F" w14:textId="38BD073C" w:rsidR="00537D5F" w:rsidRPr="008F1C41" w:rsidRDefault="00537D5F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A person’s culture is often reflected in their home life and design</w:t>
            </w:r>
          </w:p>
          <w:p w14:paraId="251115E7" w14:textId="62E0F44E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</w:p>
          <w:p w14:paraId="1F85E260" w14:textId="5D56A253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</w:t>
            </w:r>
            <w:r w:rsidR="00537D5F">
              <w:rPr>
                <w:sz w:val="20"/>
              </w:rPr>
              <w:t>ure offers insight into our own</w:t>
            </w:r>
          </w:p>
          <w:p w14:paraId="280273B6" w14:textId="52D1822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</w:t>
            </w:r>
            <w:r w:rsidR="00537D5F">
              <w:rPr>
                <w:sz w:val="20"/>
              </w:rPr>
              <w:t>gies to fill communication gaps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2452F65F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="00537D5F">
              <w:rPr>
                <w:sz w:val="20"/>
              </w:rPr>
              <w:t>grammar</w:t>
            </w:r>
            <w:r w:rsidRPr="008F1C41">
              <w:rPr>
                <w:sz w:val="20"/>
              </w:rPr>
              <w:t xml:space="preserve">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32BE1FB1" w14:textId="6724CCB6" w:rsidR="00165194" w:rsidRDefault="00165194" w:rsidP="00165194">
            <w:pPr>
              <w:rPr>
                <w:sz w:val="20"/>
              </w:rPr>
            </w:pPr>
            <w:r w:rsidRPr="00165194">
              <w:rPr>
                <w:sz w:val="20"/>
              </w:rPr>
              <w:t xml:space="preserve">What </w:t>
            </w:r>
            <w:r w:rsidR="00537D5F">
              <w:rPr>
                <w:sz w:val="20"/>
              </w:rPr>
              <w:t>does a person’s home reflect about their beliefs, practices and other aspects of culture?</w:t>
            </w:r>
          </w:p>
          <w:p w14:paraId="4F73D985" w14:textId="5CC34841" w:rsidR="0084339A" w:rsidRPr="00165194" w:rsidRDefault="00537D5F" w:rsidP="00165194">
            <w:pPr>
              <w:rPr>
                <w:sz w:val="20"/>
              </w:rPr>
            </w:pPr>
            <w:r>
              <w:rPr>
                <w:sz w:val="20"/>
              </w:rPr>
              <w:t>How do climate and geography affect architecture?</w:t>
            </w: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59848714" w:rsidR="008F1C41" w:rsidRDefault="00537D5F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Vocabulary and </w:t>
            </w:r>
            <w:r w:rsidR="008F1C41" w:rsidRPr="008F1C41">
              <w:rPr>
                <w:sz w:val="20"/>
              </w:rPr>
              <w:t xml:space="preserve">phrases </w:t>
            </w:r>
            <w:r>
              <w:rPr>
                <w:sz w:val="20"/>
              </w:rPr>
              <w:t xml:space="preserve">useful </w:t>
            </w:r>
            <w:r w:rsidR="008F1C41" w:rsidRPr="008F1C41">
              <w:rPr>
                <w:sz w:val="20"/>
              </w:rPr>
              <w:t>for</w:t>
            </w:r>
            <w:r>
              <w:rPr>
                <w:sz w:val="20"/>
              </w:rPr>
              <w:t xml:space="preserve"> communicating about houses and homes</w:t>
            </w:r>
            <w:r w:rsidR="008F1C41" w:rsidRPr="008F1C41">
              <w:rPr>
                <w:sz w:val="20"/>
              </w:rPr>
              <w:t>.</w:t>
            </w:r>
          </w:p>
          <w:p w14:paraId="10105A07" w14:textId="77777777" w:rsidR="00537D5F" w:rsidRPr="00537D5F" w:rsidRDefault="00537D5F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537D5F">
              <w:rPr>
                <w:sz w:val="20"/>
                <w:szCs w:val="20"/>
              </w:rPr>
              <w:t xml:space="preserve">Rooms in the house, furniture, colors, shapes, size </w:t>
            </w:r>
          </w:p>
          <w:p w14:paraId="5E5A75FD" w14:textId="77777777" w:rsidR="00537D5F" w:rsidRPr="00537D5F" w:rsidRDefault="00537D5F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537D5F">
              <w:rPr>
                <w:sz w:val="20"/>
                <w:szCs w:val="20"/>
              </w:rPr>
              <w:t>Kinds of housing</w:t>
            </w:r>
          </w:p>
          <w:p w14:paraId="4F6D54A2" w14:textId="77777777" w:rsidR="00537D5F" w:rsidRPr="00537D5F" w:rsidRDefault="00537D5F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537D5F">
              <w:rPr>
                <w:sz w:val="20"/>
                <w:szCs w:val="20"/>
              </w:rPr>
              <w:t>Interior/exterior of a home</w:t>
            </w:r>
          </w:p>
          <w:p w14:paraId="3054B002" w14:textId="77777777" w:rsidR="00537D5F" w:rsidRPr="00537D5F" w:rsidRDefault="00537D5F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537D5F">
              <w:rPr>
                <w:sz w:val="20"/>
                <w:szCs w:val="20"/>
              </w:rPr>
              <w:t xml:space="preserve">Chores </w:t>
            </w:r>
          </w:p>
          <w:p w14:paraId="7A69CBCE" w14:textId="56F6AD1B" w:rsidR="0049109C" w:rsidRPr="00D83BBD" w:rsidRDefault="00537D5F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8F1C41">
              <w:rPr>
                <w:sz w:val="20"/>
                <w:szCs w:val="24"/>
              </w:rPr>
              <w:t>yntax strategies</w:t>
            </w:r>
            <w:r w:rsidR="00D83BBD">
              <w:rPr>
                <w:sz w:val="20"/>
                <w:szCs w:val="24"/>
              </w:rPr>
              <w:t xml:space="preserve"> such as:</w:t>
            </w:r>
            <w:r w:rsidR="007A43B6">
              <w:rPr>
                <w:sz w:val="20"/>
                <w:szCs w:val="24"/>
              </w:rPr>
              <w:t xml:space="preserve"> </w:t>
            </w:r>
          </w:p>
          <w:p w14:paraId="7A9581E3" w14:textId="77777777" w:rsidR="00D83BBD" w:rsidRPr="00D83BBD" w:rsidRDefault="00D83BBD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D83BBD">
              <w:rPr>
                <w:sz w:val="20"/>
                <w:szCs w:val="20"/>
              </w:rPr>
              <w:t>Commands</w:t>
            </w:r>
          </w:p>
          <w:p w14:paraId="54A4EACF" w14:textId="77777777" w:rsidR="00D83BBD" w:rsidRPr="00D83BBD" w:rsidRDefault="00D83BBD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D83BBD">
              <w:rPr>
                <w:sz w:val="20"/>
                <w:szCs w:val="20"/>
              </w:rPr>
              <w:t>Have vs. Have to</w:t>
            </w:r>
          </w:p>
          <w:p w14:paraId="505BCA8F" w14:textId="5FC1B58C" w:rsidR="00D83BBD" w:rsidRPr="00D83BBD" w:rsidRDefault="00D83BBD" w:rsidP="00D83BBD">
            <w:pPr>
              <w:pStyle w:val="ListParagraph"/>
              <w:numPr>
                <w:ilvl w:val="1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D83BBD">
              <w:rPr>
                <w:sz w:val="20"/>
                <w:szCs w:val="20"/>
              </w:rPr>
              <w:t>Present progressive</w:t>
            </w:r>
          </w:p>
          <w:p w14:paraId="0BF081B4" w14:textId="7FF6AF9F" w:rsidR="007A43B6" w:rsidRPr="0049109C" w:rsidRDefault="00D83BBD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About</w:t>
            </w:r>
            <w:r w:rsidR="0049109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various types of homes and cultural practices and variances within homes from the target culture and in the target language.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lastRenderedPageBreak/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630BEDC9" w14:textId="1D268ADA" w:rsidR="00251C4F" w:rsidRDefault="008F1C41" w:rsidP="00D83BB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sz w:val="20"/>
              </w:rPr>
              <w:t xml:space="preserve">Students will apply </w:t>
            </w:r>
            <w:r w:rsidR="00D83BBD">
              <w:rPr>
                <w:sz w:val="20"/>
              </w:rPr>
              <w:t>house/home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D83BBD">
              <w:rPr>
                <w:sz w:val="20"/>
              </w:rPr>
              <w:t xml:space="preserve"> and opinions.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4A21CDA3" w:rsidR="007A43B6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gain an </w:t>
            </w:r>
            <w:r w:rsidR="00AA7B77">
              <w:rPr>
                <w:sz w:val="20"/>
              </w:rPr>
              <w:t>awareness</w:t>
            </w:r>
            <w:r w:rsidR="00D83BBD">
              <w:rPr>
                <w:sz w:val="20"/>
              </w:rPr>
              <w:t xml:space="preserve"> of other cultures’ houses and homes.</w:t>
            </w:r>
          </w:p>
          <w:p w14:paraId="0DDABF62" w14:textId="1BECCBED" w:rsidR="00AA7B77" w:rsidRPr="008F1C41" w:rsidRDefault="00AA7B77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compile all of these skills and knowledge into a design of a dream home in the target language.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F6F7667" w14:textId="2212103C" w:rsidR="00C45384" w:rsidRPr="00AA7B77" w:rsidRDefault="00604A1F" w:rsidP="001D224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  <w:szCs w:val="20"/>
              </w:rPr>
            </w:pPr>
            <w:r w:rsidRPr="00AA7B77">
              <w:rPr>
                <w:sz w:val="20"/>
                <w:szCs w:val="20"/>
              </w:rPr>
              <w:t xml:space="preserve">In this performance task, </w:t>
            </w:r>
            <w:r w:rsidR="001D2247" w:rsidRPr="00AA7B77">
              <w:rPr>
                <w:sz w:val="20"/>
                <w:szCs w:val="20"/>
              </w:rPr>
              <w:t xml:space="preserve">students will create </w:t>
            </w:r>
            <w:r w:rsidR="00AA7B77" w:rsidRPr="00AA7B77">
              <w:rPr>
                <w:sz w:val="20"/>
                <w:szCs w:val="20"/>
              </w:rPr>
              <w:t>and present</w:t>
            </w:r>
            <w:r w:rsidR="00AD74D3" w:rsidRPr="00AA7B77">
              <w:rPr>
                <w:sz w:val="20"/>
                <w:szCs w:val="20"/>
              </w:rPr>
              <w:t xml:space="preserve"> </w:t>
            </w:r>
            <w:r w:rsidR="001D2247" w:rsidRPr="00AA7B77">
              <w:rPr>
                <w:sz w:val="20"/>
                <w:szCs w:val="20"/>
              </w:rPr>
              <w:t xml:space="preserve">a: </w:t>
            </w:r>
          </w:p>
          <w:p w14:paraId="0B295ADC" w14:textId="40FFEFDE" w:rsidR="001D2247" w:rsidRDefault="00AA7B77" w:rsidP="00C45384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  <w:r w:rsidRPr="00AA7B77">
              <w:rPr>
                <w:sz w:val="20"/>
                <w:szCs w:val="20"/>
              </w:rPr>
              <w:t>Dream House Project</w:t>
            </w:r>
            <w:r w:rsidR="00F846F1">
              <w:rPr>
                <w:sz w:val="20"/>
                <w:szCs w:val="20"/>
              </w:rPr>
              <w:t xml:space="preserve"> (to be completed in TL)</w:t>
            </w:r>
          </w:p>
          <w:p w14:paraId="2F7FB4A6" w14:textId="07C2B6FB" w:rsidR="00F846F1" w:rsidRPr="00AA7B77" w:rsidRDefault="00F846F1" w:rsidP="00C45384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F27B79" wp14:editId="1A3D3477">
                  <wp:extent cx="4067175" cy="174549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174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089E44A2" w14:textId="2CDA266A" w:rsidR="002C5F41" w:rsidRPr="00604A1F" w:rsidRDefault="002C5F41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3.1: Students reinforce and further their knowledge of </w:t>
            </w:r>
            <w:r w:rsidRPr="002C5F41">
              <w:rPr>
                <w:b/>
                <w:i/>
                <w:sz w:val="20"/>
                <w:szCs w:val="24"/>
                <w:u w:val="single"/>
              </w:rPr>
              <w:t>other disciplines</w:t>
            </w:r>
            <w:r>
              <w:rPr>
                <w:b/>
                <w:i/>
                <w:sz w:val="20"/>
                <w:szCs w:val="24"/>
              </w:rPr>
              <w:t xml:space="preserve"> through the foreign language 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565C07" w:rsidP="007E1038">
            <w:pPr>
              <w:spacing w:after="0" w:line="259" w:lineRule="auto"/>
              <w:rPr>
                <w:rStyle w:val="Hyperlink"/>
                <w:sz w:val="20"/>
              </w:rPr>
            </w:pPr>
            <w:hyperlink r:id="rId11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3912812A" w14:textId="77777777" w:rsidR="00F846F1" w:rsidRDefault="00F846F1" w:rsidP="007E1038">
            <w:pPr>
              <w:spacing w:after="0" w:line="259" w:lineRule="auto"/>
              <w:rPr>
                <w:rStyle w:val="Hyperlink"/>
                <w:sz w:val="20"/>
              </w:rPr>
            </w:pPr>
          </w:p>
          <w:p w14:paraId="15F1EA1F" w14:textId="7A6F4FF9" w:rsidR="00F846F1" w:rsidRDefault="002D110D" w:rsidP="007E1038">
            <w:pPr>
              <w:spacing w:after="0" w:line="259" w:lineRule="auto"/>
              <w:rPr>
                <w:sz w:val="20"/>
              </w:rPr>
            </w:pPr>
            <w:hyperlink r:id="rId12" w:history="1">
              <w:r w:rsidRPr="002D110D">
                <w:rPr>
                  <w:rStyle w:val="Hyperlink"/>
                  <w:sz w:val="20"/>
                </w:rPr>
                <w:t>NYS Writing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866E04">
        <w:trPr>
          <w:trHeight w:val="1475"/>
        </w:trPr>
        <w:tc>
          <w:tcPr>
            <w:tcW w:w="2727" w:type="dxa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3DAAD8CD" w14:textId="525905A2" w:rsidR="00645EE8" w:rsidRPr="00866E04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3"/>
          <w:footerReference w:type="default" r:id="rId14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201"/>
        <w:gridCol w:w="1440"/>
        <w:gridCol w:w="950"/>
      </w:tblGrid>
      <w:tr w:rsidR="002B1A9A" w:rsidRPr="00926767" w14:paraId="1A1F12DA" w14:textId="77777777" w:rsidTr="001A6F7F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866E04">
        <w:trPr>
          <w:gridAfter w:val="1"/>
          <w:wAfter w:w="950" w:type="dxa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2085F6FE" w:rsidR="00581D3A" w:rsidRDefault="000768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4-6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34FA4D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</w:t>
            </w:r>
            <w:r w:rsidR="000768B6">
              <w:rPr>
                <w:sz w:val="20"/>
                <w:szCs w:val="24"/>
              </w:rPr>
              <w:t>7-9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2DD6DD00" w:rsidR="00581D3A" w:rsidRDefault="000768B6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10</w:t>
            </w:r>
            <w:bookmarkStart w:id="0" w:name="_GoBack"/>
            <w:bookmarkEnd w:id="0"/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0E7B8D54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1 through 3: Scholars identify and use </w:t>
            </w:r>
            <w:r w:rsidR="00F8551A">
              <w:rPr>
                <w:sz w:val="20"/>
                <w:szCs w:val="24"/>
              </w:rPr>
              <w:t xml:space="preserve">education </w:t>
            </w:r>
            <w:r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7913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720"/>
              <w:gridCol w:w="1500"/>
              <w:gridCol w:w="1733"/>
            </w:tblGrid>
            <w:tr w:rsidR="00866E04" w:rsidRPr="00927D6B" w14:paraId="4555C481" w14:textId="77777777" w:rsidTr="00866E04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DDAE5" w14:textId="51B419A5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HOUSE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385A5" w14:textId="5162BC9A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BASEMENT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AC78F" w14:textId="5B61699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RED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690C3" w14:textId="209EFE7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BLACK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C848C" w14:textId="634538E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SHELF</w:t>
                  </w:r>
                </w:p>
              </w:tc>
            </w:tr>
            <w:tr w:rsidR="00866E04" w:rsidRPr="00927D6B" w14:paraId="20BA0914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053F2" w14:textId="4DA5AE33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TOWN-HOUSE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11E8A" w14:textId="1972AD4D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A-T-T-I-C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D73BE" w14:textId="4766214A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ORANGE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E112D" w14:textId="14D9A5F3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BROWN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593F6" w14:textId="731364F7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LAMP</w:t>
                  </w:r>
                </w:p>
              </w:tc>
            </w:tr>
            <w:tr w:rsidR="00866E04" w:rsidRPr="00927D6B" w14:paraId="6F385FDD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B0D66" w14:textId="3070B6D9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APARTMENT (#APT)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DC053" w14:textId="3D0E5FB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FLOOR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7E175" w14:textId="4E8D2FA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YELLOW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10CE9" w14:textId="7FE3555E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FURNITURE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92475" w14:textId="21ADDDE1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REFRIGERATOR</w:t>
                  </w:r>
                </w:p>
              </w:tc>
            </w:tr>
            <w:tr w:rsidR="00866E04" w:rsidRPr="00927D6B" w14:paraId="47E7C85F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28670" w14:textId="10514A37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LIVING-ROOM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C58C5" w14:textId="17CC977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HOW-MANY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64E7D" w14:textId="78274417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GREEN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DF1D8" w14:textId="6F9D3E7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TABLE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3BC9E" w14:textId="6E5F1E2A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S-T-O-V-E</w:t>
                  </w:r>
                </w:p>
              </w:tc>
            </w:tr>
            <w:tr w:rsidR="00866E04" w:rsidRPr="00927D6B" w14:paraId="310862CF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ECF96" w14:textId="114856EE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BEDROOM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E769F" w14:textId="4C4D3E3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SMALL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99663" w14:textId="295F6D5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PURPLE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B51FF" w14:textId="1F9CC3C7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PHONE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56B0B" w14:textId="58F2EEDC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O-V-E-N</w:t>
                  </w:r>
                </w:p>
              </w:tc>
            </w:tr>
            <w:tr w:rsidR="00866E04" w:rsidRPr="00927D6B" w14:paraId="0B2BF355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36290" w14:textId="0D0DD59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DINING-ROOM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8ED1A" w14:textId="7C663C5C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MEDIUM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CE087" w14:textId="576C76B3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BLUE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E6BF7" w14:textId="1F54A21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R-U-G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0C32A" w14:textId="3A4D048E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S-I-N-K</w:t>
                  </w:r>
                </w:p>
              </w:tc>
            </w:tr>
            <w:tr w:rsidR="00866E04" w:rsidRPr="00927D6B" w14:paraId="2474249E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2CBE3" w14:textId="23B320D8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KITCHEN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48C4C" w14:textId="53A4C834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LARGE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7085D" w14:textId="0E76AEB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PINK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8BFEF" w14:textId="1BBABAF6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CHAIR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82019" w14:textId="3F570050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TRASH/GARBAGE</w:t>
                  </w:r>
                </w:p>
              </w:tc>
            </w:tr>
            <w:tr w:rsidR="00866E04" w:rsidRPr="00927D6B" w14:paraId="0110ED70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D8A75" w14:textId="1845793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BATHROOM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61CE" w14:textId="4825B3DD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COLOR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5D142" w14:textId="54BA0748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WHITE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9BE5F" w14:textId="09FF4C48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T-V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923D7" w14:textId="7574486C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MICROWAVE</w:t>
                  </w:r>
                </w:p>
              </w:tc>
            </w:tr>
            <w:tr w:rsidR="00866E04" w:rsidRPr="00927D6B" w14:paraId="7EE322BB" w14:textId="77777777" w:rsidTr="00866E0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19E9C" w14:textId="0F4F21A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CUPBOARDS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E6DA2" w14:textId="3758B555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BED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0D693" w14:textId="3D359D0F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COMPUTER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49427" w14:textId="73FDA60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DRESSER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47257" w14:textId="4B1C41B8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CLOSET</w:t>
                  </w:r>
                </w:p>
              </w:tc>
            </w:tr>
            <w:tr w:rsidR="00866E04" w:rsidRPr="00927D6B" w14:paraId="46F86057" w14:textId="77777777" w:rsidTr="00866E04">
              <w:trPr>
                <w:trHeight w:val="37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869CD" w14:textId="4FC4D0D2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BATH-TUB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BFBFB4" w14:textId="2CC5454B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TOILET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A3B40" w14:textId="482EF248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SHOWER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FDE72" w14:textId="58C91E13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WINDOW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566E0" w14:textId="59150EA6" w:rsidR="00866E04" w:rsidRPr="00927D6B" w:rsidRDefault="00866E04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>
                    <w:t>DOOR</w:t>
                  </w:r>
                </w:p>
              </w:tc>
            </w:tr>
            <w:tr w:rsidR="000768B6" w:rsidRPr="00927D6B" w14:paraId="4AFC5264" w14:textId="77777777" w:rsidTr="00866E04">
              <w:trPr>
                <w:trHeight w:val="37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DDE465" w14:textId="4CF19E98" w:rsidR="000768B6" w:rsidRDefault="000768B6" w:rsidP="00927D6B">
                  <w:pPr>
                    <w:spacing w:after="0" w:line="240" w:lineRule="auto"/>
                  </w:pPr>
                  <w:r>
                    <w:t>MAKE THE BED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8FD4F3" w14:textId="6C5E0602" w:rsidR="000768B6" w:rsidRDefault="000768B6" w:rsidP="00927D6B">
                  <w:pPr>
                    <w:spacing w:after="0" w:line="240" w:lineRule="auto"/>
                  </w:pPr>
                  <w:r>
                    <w:t>SET THE TABLE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E95B73" w14:textId="0DB2B6C1" w:rsidR="000768B6" w:rsidRDefault="000768B6" w:rsidP="000768B6">
                  <w:pPr>
                    <w:spacing w:after="0" w:line="240" w:lineRule="auto"/>
                  </w:pPr>
                  <w:r>
                    <w:t>VACUUM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9661747" w14:textId="589FEBC3" w:rsidR="000768B6" w:rsidRDefault="000768B6" w:rsidP="00927D6B">
                  <w:pPr>
                    <w:spacing w:after="0" w:line="240" w:lineRule="auto"/>
                  </w:pPr>
                  <w:r>
                    <w:t>WASH THE DISHES/CAR/CLOTHES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97EA17" w14:textId="1C19C516" w:rsidR="000768B6" w:rsidRDefault="000768B6" w:rsidP="00927D6B">
                  <w:pPr>
                    <w:spacing w:after="0" w:line="240" w:lineRule="auto"/>
                  </w:pPr>
                  <w:r>
                    <w:t>TAKE OUT THE TRASH</w:t>
                  </w:r>
                </w:p>
              </w:tc>
            </w:tr>
            <w:tr w:rsidR="000768B6" w:rsidRPr="00927D6B" w14:paraId="1FF6C2E7" w14:textId="77777777" w:rsidTr="00866E04">
              <w:trPr>
                <w:trHeight w:val="37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EF4B70" w14:textId="0A247B80" w:rsidR="000768B6" w:rsidRDefault="000768B6" w:rsidP="00927D6B">
                  <w:pPr>
                    <w:spacing w:after="0" w:line="240" w:lineRule="auto"/>
                  </w:pPr>
                  <w:r>
                    <w:t>DUST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2DE01A" w14:textId="34A280F1" w:rsidR="000768B6" w:rsidRDefault="000768B6" w:rsidP="00927D6B">
                  <w:pPr>
                    <w:spacing w:after="0" w:line="240" w:lineRule="auto"/>
                  </w:pPr>
                  <w:r>
                    <w:t>SWEEP THE FLOOR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FB2C2D" w14:textId="5939742B" w:rsidR="000768B6" w:rsidRDefault="000768B6" w:rsidP="000768B6">
                  <w:pPr>
                    <w:spacing w:after="0" w:line="240" w:lineRule="auto"/>
                  </w:pPr>
                  <w:r>
                    <w:t>CLEAN THE ROOM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DA6EF3" w14:textId="0C2A6E91" w:rsidR="000768B6" w:rsidRDefault="000768B6" w:rsidP="00927D6B">
                  <w:pPr>
                    <w:spacing w:after="0" w:line="240" w:lineRule="auto"/>
                  </w:pPr>
                  <w:r>
                    <w:t>FEED THE DOG/CAT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DF2763" w14:textId="52E05517" w:rsidR="000768B6" w:rsidRDefault="000768B6" w:rsidP="00927D6B">
                  <w:pPr>
                    <w:spacing w:after="0" w:line="240" w:lineRule="auto"/>
                  </w:pPr>
                  <w:r>
                    <w:t>MOW THE LAWN</w:t>
                  </w:r>
                </w:p>
              </w:tc>
            </w:tr>
          </w:tbl>
          <w:p w14:paraId="6FAEE2F0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4F54FA2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18B566FC" w:rsidR="009C3CE1" w:rsidRDefault="000768B6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6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421B51">
              <w:rPr>
                <w:sz w:val="20"/>
                <w:szCs w:val="24"/>
              </w:rPr>
              <w:t xml:space="preserve">incorporate </w:t>
            </w:r>
            <w:r>
              <w:rPr>
                <w:sz w:val="20"/>
                <w:szCs w:val="24"/>
              </w:rPr>
              <w:t>informal commands, the present progressive tense and the verb “to have”</w:t>
            </w:r>
            <w:r w:rsidR="00421B51">
              <w:rPr>
                <w:sz w:val="20"/>
                <w:szCs w:val="24"/>
              </w:rPr>
              <w:t xml:space="preserve">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school </w:t>
            </w:r>
            <w:r w:rsidR="00C45384"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</w:t>
            </w:r>
            <w:r>
              <w:rPr>
                <w:sz w:val="20"/>
                <w:szCs w:val="24"/>
              </w:rPr>
              <w:t>, informal</w:t>
            </w:r>
            <w:r w:rsidR="00421B51">
              <w:rPr>
                <w:sz w:val="20"/>
                <w:szCs w:val="24"/>
              </w:rPr>
              <w:t xml:space="preserve"> commands.</w:t>
            </w:r>
            <w:r w:rsidR="009C3CE1">
              <w:rPr>
                <w:sz w:val="20"/>
                <w:szCs w:val="24"/>
              </w:rPr>
              <w:t xml:space="preserve">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247F9BEA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768B6">
              <w:rPr>
                <w:sz w:val="20"/>
                <w:szCs w:val="24"/>
              </w:rPr>
              <w:t>s 7-9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AC5FB0">
              <w:rPr>
                <w:sz w:val="20"/>
                <w:szCs w:val="24"/>
              </w:rPr>
              <w:t xml:space="preserve"> </w:t>
            </w:r>
            <w:r w:rsidR="000768B6">
              <w:rPr>
                <w:sz w:val="20"/>
                <w:szCs w:val="24"/>
              </w:rPr>
              <w:t>blueprint of their dream house in the TL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D79F3C5" w14:textId="3EC4770D" w:rsidR="00645EE8" w:rsidRDefault="000768B6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Lesson 10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>
              <w:rPr>
                <w:sz w:val="20"/>
                <w:szCs w:val="24"/>
              </w:rPr>
              <w:t>house/home</w:t>
            </w:r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4AB291AC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0768B6">
              <w:rPr>
                <w:sz w:val="20"/>
                <w:szCs w:val="24"/>
              </w:rPr>
              <w:t>) Lessons 1-9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27FFBAFE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</w:t>
            </w:r>
            <w:r w:rsidR="000768B6">
              <w:rPr>
                <w:sz w:val="20"/>
                <w:szCs w:val="24"/>
              </w:rPr>
              <w:t>of Project (Lesson 9</w:t>
            </w:r>
            <w:r w:rsidR="00087040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4C859D71" w:rsidR="00087040" w:rsidRPr="009C3CE1" w:rsidRDefault="000768B6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9027" w14:textId="77777777" w:rsidR="00565C07" w:rsidRDefault="00565C07" w:rsidP="00530577">
      <w:pPr>
        <w:spacing w:after="0" w:line="240" w:lineRule="auto"/>
      </w:pPr>
      <w:r>
        <w:separator/>
      </w:r>
    </w:p>
  </w:endnote>
  <w:endnote w:type="continuationSeparator" w:id="0">
    <w:p w14:paraId="4C31F667" w14:textId="77777777" w:rsidR="00565C07" w:rsidRDefault="00565C07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9EB97" w14:textId="77777777" w:rsidR="00565C07" w:rsidRDefault="00565C07" w:rsidP="00530577">
      <w:pPr>
        <w:spacing w:after="0" w:line="240" w:lineRule="auto"/>
      </w:pPr>
      <w:r>
        <w:separator/>
      </w:r>
    </w:p>
  </w:footnote>
  <w:footnote w:type="continuationSeparator" w:id="0">
    <w:p w14:paraId="03FBE689" w14:textId="77777777" w:rsidR="00565C07" w:rsidRDefault="00565C07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456F42A4" w:rsidR="008B2C89" w:rsidRDefault="008B2C89" w:rsidP="00DE45FC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537D5F">
            <w:rPr>
              <w:sz w:val="28"/>
              <w:szCs w:val="28"/>
            </w:rPr>
            <w:t xml:space="preserve">      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537D5F">
            <w:rPr>
              <w:sz w:val="28"/>
              <w:szCs w:val="28"/>
            </w:rPr>
            <w:t>6</w:t>
          </w:r>
          <w:r w:rsidRPr="001435D8">
            <w:rPr>
              <w:sz w:val="28"/>
              <w:szCs w:val="28"/>
            </w:rPr>
            <w:t xml:space="preserve">     </w:t>
          </w:r>
          <w:r w:rsidR="00537D5F">
            <w:rPr>
              <w:sz w:val="28"/>
              <w:szCs w:val="28"/>
            </w:rPr>
            <w:t xml:space="preserve">              </w:t>
          </w:r>
          <w:r w:rsidRPr="001435D8">
            <w:rPr>
              <w:sz w:val="28"/>
              <w:szCs w:val="28"/>
            </w:rPr>
            <w:t>Title:</w:t>
          </w:r>
          <w:r w:rsidR="00BD7FDA">
            <w:rPr>
              <w:sz w:val="28"/>
              <w:szCs w:val="28"/>
            </w:rPr>
            <w:t xml:space="preserve"> </w:t>
          </w:r>
          <w:r w:rsidR="00537D5F">
            <w:rPr>
              <w:sz w:val="28"/>
              <w:szCs w:val="28"/>
            </w:rPr>
            <w:t>House &amp; Home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3672"/>
    <w:rsid w:val="000768B6"/>
    <w:rsid w:val="00087040"/>
    <w:rsid w:val="00141738"/>
    <w:rsid w:val="0015133C"/>
    <w:rsid w:val="00165194"/>
    <w:rsid w:val="001A6F7F"/>
    <w:rsid w:val="001D2247"/>
    <w:rsid w:val="001F03FE"/>
    <w:rsid w:val="00251781"/>
    <w:rsid w:val="00251C4F"/>
    <w:rsid w:val="00255CEB"/>
    <w:rsid w:val="002936CC"/>
    <w:rsid w:val="002B1A9A"/>
    <w:rsid w:val="002C4361"/>
    <w:rsid w:val="002C5F41"/>
    <w:rsid w:val="002D110D"/>
    <w:rsid w:val="002D7F58"/>
    <w:rsid w:val="0032048C"/>
    <w:rsid w:val="003B031F"/>
    <w:rsid w:val="003E7AED"/>
    <w:rsid w:val="00407BD0"/>
    <w:rsid w:val="004209FD"/>
    <w:rsid w:val="00421B51"/>
    <w:rsid w:val="0049109C"/>
    <w:rsid w:val="004B7ADE"/>
    <w:rsid w:val="0051118D"/>
    <w:rsid w:val="005144BB"/>
    <w:rsid w:val="00514D21"/>
    <w:rsid w:val="00530577"/>
    <w:rsid w:val="00537D5F"/>
    <w:rsid w:val="00560473"/>
    <w:rsid w:val="00565C07"/>
    <w:rsid w:val="00581D3A"/>
    <w:rsid w:val="005B5730"/>
    <w:rsid w:val="005F4241"/>
    <w:rsid w:val="00604A1F"/>
    <w:rsid w:val="00630113"/>
    <w:rsid w:val="00645EE8"/>
    <w:rsid w:val="0066118B"/>
    <w:rsid w:val="00691803"/>
    <w:rsid w:val="006B4093"/>
    <w:rsid w:val="00712BA2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075EB"/>
    <w:rsid w:val="0084339A"/>
    <w:rsid w:val="00866E04"/>
    <w:rsid w:val="008B2C89"/>
    <w:rsid w:val="008F1C41"/>
    <w:rsid w:val="008F32EC"/>
    <w:rsid w:val="008F54E1"/>
    <w:rsid w:val="00903EDC"/>
    <w:rsid w:val="00927D6B"/>
    <w:rsid w:val="009C3CE1"/>
    <w:rsid w:val="009E0C91"/>
    <w:rsid w:val="009E6729"/>
    <w:rsid w:val="009E7291"/>
    <w:rsid w:val="00A02E0E"/>
    <w:rsid w:val="00A07F3F"/>
    <w:rsid w:val="00A41C11"/>
    <w:rsid w:val="00AA7B77"/>
    <w:rsid w:val="00AC3411"/>
    <w:rsid w:val="00AC5FB0"/>
    <w:rsid w:val="00AD0598"/>
    <w:rsid w:val="00AD74D3"/>
    <w:rsid w:val="00B44957"/>
    <w:rsid w:val="00B5382A"/>
    <w:rsid w:val="00BA482D"/>
    <w:rsid w:val="00BD7FDA"/>
    <w:rsid w:val="00BF3131"/>
    <w:rsid w:val="00C24DC2"/>
    <w:rsid w:val="00C31C1B"/>
    <w:rsid w:val="00C45384"/>
    <w:rsid w:val="00C474AA"/>
    <w:rsid w:val="00C81854"/>
    <w:rsid w:val="00CB07E8"/>
    <w:rsid w:val="00D05FBB"/>
    <w:rsid w:val="00D158FF"/>
    <w:rsid w:val="00D716B0"/>
    <w:rsid w:val="00D73406"/>
    <w:rsid w:val="00D80F6A"/>
    <w:rsid w:val="00D83BBD"/>
    <w:rsid w:val="00DC004E"/>
    <w:rsid w:val="00DE45FC"/>
    <w:rsid w:val="00DF1113"/>
    <w:rsid w:val="00E5031A"/>
    <w:rsid w:val="00F066B4"/>
    <w:rsid w:val="00F5352B"/>
    <w:rsid w:val="00F846F1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ysedregents.org/loteslp/spanish/slp-spanish-rg-610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226210\Desktop\speaking%20rubric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ECF92-1610-4878-BC47-07E1B8FE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Tisa, Rebecca R</cp:lastModifiedBy>
  <cp:revision>2</cp:revision>
  <cp:lastPrinted>2015-08-11T19:01:00Z</cp:lastPrinted>
  <dcterms:created xsi:type="dcterms:W3CDTF">2015-08-20T15:11:00Z</dcterms:created>
  <dcterms:modified xsi:type="dcterms:W3CDTF">2015-08-20T15:11:00Z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